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C2" w:rsidRDefault="00AE61C2" w:rsidP="00AE61C2">
      <w:pPr>
        <w:pStyle w:val="Ttulo1"/>
        <w:shd w:val="clear" w:color="auto" w:fill="FFFFFF"/>
        <w:rPr>
          <w:rFonts w:ascii="Arial" w:hAnsi="Arial" w:cs="Arial"/>
          <w:color w:val="434343"/>
          <w:sz w:val="45"/>
          <w:szCs w:val="45"/>
        </w:rPr>
      </w:pPr>
      <w:r>
        <w:rPr>
          <w:rFonts w:ascii="Arial" w:hAnsi="Arial" w:cs="Arial"/>
          <w:color w:val="434343"/>
          <w:sz w:val="45"/>
          <w:szCs w:val="45"/>
        </w:rPr>
        <w:t>MONITORIZACIÓN CONTINUA DE GLUCOSA</w:t>
      </w:r>
    </w:p>
    <w:p w:rsidR="00AE61C2" w:rsidRDefault="00AE61C2" w:rsidP="00AE61C2">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La monitorización continua de glucosa se realiza por sistemas que captan la glucosa en líquido intersticial que son un reflejo de la glucosa sanguínea pero hay que tener claro que aunque cad a vez son sistemas cada vez más fiables , cambios bruscos de la glucemia pueden no llegar a reflejarse con la misma rapidez y que se recomienda en casos de hiperglucemia elevada o de hipoglucemia sin síntomas comprobarlo siempre por control capilar (tira reactiva) antes de tomar una decisión.</w:t>
      </w:r>
    </w:p>
    <w:p w:rsidR="00AE61C2" w:rsidRDefault="00AE61C2" w:rsidP="00AE61C2">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Existen en estos momentos dos dispositivos).</w:t>
      </w:r>
    </w:p>
    <w:p w:rsidR="00AE61C2" w:rsidRDefault="00AE61C2" w:rsidP="00AE61C2">
      <w:pPr>
        <w:pStyle w:val="Ttulo4"/>
        <w:shd w:val="clear" w:color="auto" w:fill="FFFFFF"/>
        <w:rPr>
          <w:rFonts w:ascii="Arial" w:hAnsi="Arial" w:cs="Arial"/>
          <w:color w:val="282828"/>
          <w:sz w:val="24"/>
          <w:szCs w:val="24"/>
        </w:rPr>
      </w:pPr>
      <w:r>
        <w:rPr>
          <w:rFonts w:ascii="Arial" w:hAnsi="Arial" w:cs="Arial"/>
          <w:color w:val="282828"/>
        </w:rPr>
        <w:t>1.-Sistemas Flash:</w:t>
      </w:r>
    </w:p>
    <w:p w:rsidR="00AE61C2" w:rsidRDefault="00AE61C2" w:rsidP="00AE61C2">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Son sistemas ahora mismo financiados por SSPA desde los 4 años y deben pasarse el sensor o el movil asociado para leer la cifra de glucemia, no pueden pasar más de 8 horas sin pasarse pues se pierden los datos. Este tipo de sistema es el conocido como FREESTYLE 2</w:t>
      </w:r>
    </w:p>
    <w:p w:rsidR="00AE61C2" w:rsidRDefault="00AE61C2" w:rsidP="00AE61C2">
      <w:pPr>
        <w:pStyle w:val="Ttulo4"/>
        <w:shd w:val="clear" w:color="auto" w:fill="FFFFFF"/>
        <w:rPr>
          <w:rFonts w:ascii="Arial" w:hAnsi="Arial" w:cs="Arial"/>
          <w:color w:val="282828"/>
          <w:sz w:val="24"/>
          <w:szCs w:val="24"/>
        </w:rPr>
      </w:pPr>
      <w:r>
        <w:rPr>
          <w:rFonts w:ascii="Arial" w:hAnsi="Arial" w:cs="Arial"/>
          <w:color w:val="282828"/>
        </w:rPr>
        <w:t>2.-Sistemas Real de monitorización continua de glucosa:</w:t>
      </w:r>
    </w:p>
    <w:p w:rsidR="00AE61C2" w:rsidRDefault="00AE61C2" w:rsidP="00AE61C2">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Estos sistemas ahora mismo no financiados exceptos en casos especiales son sistemas que no requieren el pasar el sensor o el móvil pues se comunican continuamente. Estos sistemas son el conocido como FREESTYLE 3, Guardian Conect o Dexcom</w:t>
      </w:r>
    </w:p>
    <w:p w:rsidR="00AE61C2" w:rsidRDefault="00AE61C2" w:rsidP="00AE61C2">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Es muy importante aprovechar bien estos sistemas pues dan mucha información al paciente y evita muchos pinchazos de tiras reactivas, por ejemplo realizar controles antes y dos horas después de cada comida y siempre que se considere oportuno. Cuando el control coincida con una comida es muy interesante utilizar la opción de poner raciones que se han ingerido y unidades de insulina rápida que se ha puesto. El uso de móvil facilita que se vuelquen los controles en la “nube” y poder verlos inmediatamente en la aplicación correspondiente. Es también muy intersante aprender a interpretar todos gráficos de la aplicación….etc</w:t>
      </w:r>
    </w:p>
    <w:p w:rsidR="00AE61C2" w:rsidRDefault="00AE61C2" w:rsidP="00AE61C2">
      <w:pPr>
        <w:pStyle w:val="NormalWeb"/>
        <w:shd w:val="clear" w:color="auto" w:fill="FFFFFF"/>
        <w:spacing w:before="75" w:beforeAutospacing="0" w:after="300" w:afterAutospacing="0"/>
        <w:rPr>
          <w:rFonts w:ascii="Arial" w:hAnsi="Arial" w:cs="Arial"/>
          <w:color w:val="282828"/>
          <w:sz w:val="18"/>
          <w:szCs w:val="18"/>
        </w:rPr>
      </w:pPr>
      <w:r>
        <w:rPr>
          <w:rFonts w:ascii="Arial" w:hAnsi="Arial" w:cs="Arial"/>
          <w:color w:val="282828"/>
          <w:sz w:val="18"/>
          <w:szCs w:val="18"/>
        </w:rPr>
        <w:t>Versión imprimible ( </w:t>
      </w:r>
      <w:r>
        <w:rPr>
          <w:rFonts w:ascii="Arial" w:hAnsi="Arial" w:cs="Arial"/>
          <w:noProof/>
          <w:color w:val="A41E0A"/>
          <w:sz w:val="18"/>
          <w:szCs w:val="18"/>
        </w:rPr>
        <w:drawing>
          <wp:inline distT="0" distB="0" distL="0" distR="0">
            <wp:extent cx="152400" cy="152400"/>
            <wp:effectExtent l="19050" t="0" r="0" b="0"/>
            <wp:docPr id="10" name="Imagen 1" descr="En formato Word">
              <a:hlinkClick xmlns:a="http://schemas.openxmlformats.org/drawingml/2006/main" r:id="rId6" tgtFrame="&quot;_blank&quot;" tooltip="&quot;MONITORIZACION en formato Word&#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formato Word">
                      <a:hlinkClick r:id="rId6" tgtFrame="&quot;_blank&quot;" tooltip="&quot;MONITORIZACION en formato Word&#10;(Se abre en nueva ventana)&quot;"/>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282828"/>
          <w:sz w:val="18"/>
          <w:szCs w:val="18"/>
        </w:rPr>
        <w:t> , </w:t>
      </w:r>
      <w:r>
        <w:rPr>
          <w:rFonts w:ascii="Arial" w:hAnsi="Arial" w:cs="Arial"/>
          <w:noProof/>
          <w:color w:val="A41E0A"/>
          <w:sz w:val="18"/>
          <w:szCs w:val="18"/>
        </w:rPr>
        <w:drawing>
          <wp:inline distT="0" distB="0" distL="0" distR="0">
            <wp:extent cx="152400" cy="152400"/>
            <wp:effectExtent l="19050" t="0" r="0" b="0"/>
            <wp:docPr id="9" name="Imagen 2" descr="En formato PDF">
              <a:hlinkClick xmlns:a="http://schemas.openxmlformats.org/drawingml/2006/main" r:id="rId8" tgtFrame="&quot;_blank&quot;" tooltip="&quot;MONITORIZACION en formato PDF&#10;(Se abre en nueva vent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formato PDF">
                      <a:hlinkClick r:id="rId8" tgtFrame="&quot;_blank&quot;" tooltip="&quot;MONITORIZACION en formato PDF&#10;(Se abre en nueva ventana)&quot;"/>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282828"/>
          <w:sz w:val="18"/>
          <w:szCs w:val="18"/>
        </w:rPr>
        <w:t> )</w:t>
      </w:r>
    </w:p>
    <w:p w:rsidR="00EB09A6" w:rsidRPr="00952F00" w:rsidRDefault="00196AD0" w:rsidP="00952F00"/>
    <w:sectPr w:rsidR="00EB09A6" w:rsidRPr="00952F00" w:rsidSect="00017CEB">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AD0" w:rsidRDefault="00196AD0" w:rsidP="0068081D">
      <w:pPr>
        <w:spacing w:after="0" w:line="240" w:lineRule="auto"/>
      </w:pPr>
      <w:r>
        <w:separator/>
      </w:r>
    </w:p>
  </w:endnote>
  <w:endnote w:type="continuationSeparator" w:id="1">
    <w:p w:rsidR="00196AD0" w:rsidRDefault="00196AD0" w:rsidP="00680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1D" w:rsidRDefault="0068081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1D" w:rsidRDefault="0068081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1D" w:rsidRDefault="006808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AD0" w:rsidRDefault="00196AD0" w:rsidP="0068081D">
      <w:pPr>
        <w:spacing w:after="0" w:line="240" w:lineRule="auto"/>
      </w:pPr>
      <w:r>
        <w:separator/>
      </w:r>
    </w:p>
  </w:footnote>
  <w:footnote w:type="continuationSeparator" w:id="1">
    <w:p w:rsidR="00196AD0" w:rsidRDefault="00196AD0" w:rsidP="00680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1D" w:rsidRDefault="0068081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1D" w:rsidRPr="00AE42ED" w:rsidRDefault="0068081D" w:rsidP="0068081D">
    <w:pPr>
      <w:tabs>
        <w:tab w:val="center" w:pos="4252"/>
        <w:tab w:val="right" w:pos="8504"/>
      </w:tabs>
      <w:jc w:val="center"/>
      <w:rPr>
        <w:rFonts w:ascii="Calibri" w:eastAsia="Times New Roman" w:hAnsi="Calibri" w:cs="Times New Roman"/>
      </w:rPr>
    </w:pPr>
    <w:r>
      <w:rPr>
        <w:rFonts w:ascii="Calibri" w:eastAsia="Times New Roman" w:hAnsi="Calibri" w:cs="Times New Roman"/>
        <w:noProof/>
        <w:lang w:eastAsia="es-ES"/>
      </w:rPr>
      <w:drawing>
        <wp:inline distT="0" distB="0" distL="0" distR="0">
          <wp:extent cx="2219325" cy="609600"/>
          <wp:effectExtent l="19050" t="0" r="9525" b="0"/>
          <wp:docPr id="2" name="Imagen 2" descr="http://deporcuna.blogia.com/upload/20070821181430-logo-servicio-andaluz-de-sal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porcuna.blogia.com/upload/20070821181430-logo-servicio-andaluz-de-salud.gif"/>
                  <pic:cNvPicPr>
                    <a:picLocks noChangeAspect="1" noChangeArrowheads="1"/>
                  </pic:cNvPicPr>
                </pic:nvPicPr>
                <pic:blipFill>
                  <a:blip r:embed="rId1" r:link="rId2"/>
                  <a:srcRect/>
                  <a:stretch>
                    <a:fillRect/>
                  </a:stretch>
                </pic:blipFill>
                <pic:spPr bwMode="auto">
                  <a:xfrm>
                    <a:off x="0" y="0"/>
                    <a:ext cx="2219325" cy="609600"/>
                  </a:xfrm>
                  <a:prstGeom prst="rect">
                    <a:avLst/>
                  </a:prstGeom>
                  <a:noFill/>
                  <a:ln w="9525">
                    <a:noFill/>
                    <a:miter lim="800000"/>
                    <a:headEnd/>
                    <a:tailEnd/>
                  </a:ln>
                </pic:spPr>
              </pic:pic>
            </a:graphicData>
          </a:graphic>
        </wp:inline>
      </w:drawing>
    </w:r>
    <w:r>
      <w:rPr>
        <w:rFonts w:ascii="Calibri" w:eastAsia="Times New Roman" w:hAnsi="Calibri" w:cs="Times New Roman"/>
        <w:noProof/>
        <w:lang w:eastAsia="es-ES"/>
      </w:rPr>
      <w:drawing>
        <wp:inline distT="0" distB="0" distL="0" distR="0">
          <wp:extent cx="1743075" cy="600075"/>
          <wp:effectExtent l="19050" t="0" r="9525" b="0"/>
          <wp:docPr id="3" name="Imagen 3" descr="http://10.8.11.200/weblab/pics/logoHOSPmarbG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8.11.200/weblab/pics/logoHOSPmarbGRAN.jpg"/>
                  <pic:cNvPicPr>
                    <a:picLocks noChangeAspect="1" noChangeArrowheads="1"/>
                  </pic:cNvPicPr>
                </pic:nvPicPr>
                <pic:blipFill>
                  <a:blip r:embed="rId3" r:link="rId4"/>
                  <a:srcRect/>
                  <a:stretch>
                    <a:fillRect/>
                  </a:stretch>
                </pic:blipFill>
                <pic:spPr bwMode="auto">
                  <a:xfrm>
                    <a:off x="0" y="0"/>
                    <a:ext cx="1743075" cy="600075"/>
                  </a:xfrm>
                  <a:prstGeom prst="rect">
                    <a:avLst/>
                  </a:prstGeom>
                  <a:noFill/>
                  <a:ln w="9525">
                    <a:noFill/>
                    <a:miter lim="800000"/>
                    <a:headEnd/>
                    <a:tailEnd/>
                  </a:ln>
                </pic:spPr>
              </pic:pic>
            </a:graphicData>
          </a:graphic>
        </wp:inline>
      </w:drawing>
    </w:r>
  </w:p>
  <w:p w:rsidR="0068081D" w:rsidRPr="00AE42ED" w:rsidRDefault="0068081D" w:rsidP="0068081D">
    <w:pPr>
      <w:jc w:val="center"/>
      <w:rPr>
        <w:rFonts w:ascii="Calibri" w:eastAsia="Times New Roman" w:hAnsi="Calibri" w:cs="Times New Roman"/>
      </w:rPr>
    </w:pPr>
    <w:r w:rsidRPr="00AE42ED">
      <w:rPr>
        <w:rFonts w:ascii="Calibri" w:eastAsia="Times New Roman" w:hAnsi="Calibri" w:cs="Times New Roman"/>
      </w:rPr>
      <w:t>UNIDAD DE ENDOCRINOLOGÍA PEDIÁTRICA. UGC PEDIATRIA INTEGRAL</w:t>
    </w:r>
  </w:p>
  <w:p w:rsidR="0068081D" w:rsidRDefault="0068081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1D" w:rsidRDefault="0068081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566A7"/>
    <w:rsid w:val="00017CEB"/>
    <w:rsid w:val="000B43F6"/>
    <w:rsid w:val="000B6624"/>
    <w:rsid w:val="00153B73"/>
    <w:rsid w:val="00170ED0"/>
    <w:rsid w:val="00196AD0"/>
    <w:rsid w:val="00214AB0"/>
    <w:rsid w:val="002304E7"/>
    <w:rsid w:val="00287E55"/>
    <w:rsid w:val="002A5EDC"/>
    <w:rsid w:val="00326ACA"/>
    <w:rsid w:val="00415F28"/>
    <w:rsid w:val="004748DF"/>
    <w:rsid w:val="00483FC8"/>
    <w:rsid w:val="004F59A7"/>
    <w:rsid w:val="00503F3C"/>
    <w:rsid w:val="005B4FB9"/>
    <w:rsid w:val="005D2D9C"/>
    <w:rsid w:val="00677683"/>
    <w:rsid w:val="0068081D"/>
    <w:rsid w:val="006D5A7B"/>
    <w:rsid w:val="007048A3"/>
    <w:rsid w:val="00792316"/>
    <w:rsid w:val="00832CCC"/>
    <w:rsid w:val="00853249"/>
    <w:rsid w:val="00952F00"/>
    <w:rsid w:val="009C5762"/>
    <w:rsid w:val="00A0277E"/>
    <w:rsid w:val="00A105CF"/>
    <w:rsid w:val="00AE61C2"/>
    <w:rsid w:val="00BE1705"/>
    <w:rsid w:val="00BF502D"/>
    <w:rsid w:val="00BF6725"/>
    <w:rsid w:val="00C07AEC"/>
    <w:rsid w:val="00C17AF2"/>
    <w:rsid w:val="00D07212"/>
    <w:rsid w:val="00D32AC9"/>
    <w:rsid w:val="00D36EDC"/>
    <w:rsid w:val="00D566A7"/>
    <w:rsid w:val="00D63F93"/>
    <w:rsid w:val="00D97C10"/>
    <w:rsid w:val="00E7253A"/>
    <w:rsid w:val="00ED6C41"/>
    <w:rsid w:val="00EF7F94"/>
    <w:rsid w:val="00F1258E"/>
    <w:rsid w:val="00FC07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EB"/>
  </w:style>
  <w:style w:type="paragraph" w:styleId="Ttulo1">
    <w:name w:val="heading 1"/>
    <w:basedOn w:val="Normal"/>
    <w:link w:val="Ttulo1Car"/>
    <w:uiPriority w:val="9"/>
    <w:qFormat/>
    <w:rsid w:val="00D56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0B4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2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52F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66A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D566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14AB0"/>
    <w:rPr>
      <w:color w:val="0000FF"/>
      <w:u w:val="single"/>
    </w:rPr>
  </w:style>
  <w:style w:type="paragraph" w:styleId="Textodeglobo">
    <w:name w:val="Balloon Text"/>
    <w:basedOn w:val="Normal"/>
    <w:link w:val="TextodegloboCar"/>
    <w:uiPriority w:val="99"/>
    <w:semiHidden/>
    <w:unhideWhenUsed/>
    <w:rsid w:val="00BF6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25"/>
    <w:rPr>
      <w:rFonts w:ascii="Tahoma" w:hAnsi="Tahoma" w:cs="Tahoma"/>
      <w:sz w:val="16"/>
      <w:szCs w:val="16"/>
    </w:rPr>
  </w:style>
  <w:style w:type="character" w:customStyle="1" w:styleId="Ttulo2Car">
    <w:name w:val="Título 2 Car"/>
    <w:basedOn w:val="Fuentedeprrafopredeter"/>
    <w:link w:val="Ttulo2"/>
    <w:uiPriority w:val="9"/>
    <w:semiHidden/>
    <w:rsid w:val="000B43F6"/>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6808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8081D"/>
  </w:style>
  <w:style w:type="paragraph" w:styleId="Piedepgina">
    <w:name w:val="footer"/>
    <w:basedOn w:val="Normal"/>
    <w:link w:val="PiedepginaCar"/>
    <w:uiPriority w:val="99"/>
    <w:semiHidden/>
    <w:unhideWhenUsed/>
    <w:rsid w:val="006808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8081D"/>
  </w:style>
  <w:style w:type="character" w:customStyle="1" w:styleId="Ttulo3Car">
    <w:name w:val="Título 3 Car"/>
    <w:basedOn w:val="Fuentedeprrafopredeter"/>
    <w:link w:val="Ttulo3"/>
    <w:uiPriority w:val="9"/>
    <w:semiHidden/>
    <w:rsid w:val="0032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952F0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56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0B43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66A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D566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14AB0"/>
    <w:rPr>
      <w:color w:val="0000FF"/>
      <w:u w:val="single"/>
    </w:rPr>
  </w:style>
  <w:style w:type="paragraph" w:styleId="Textodeglobo">
    <w:name w:val="Balloon Text"/>
    <w:basedOn w:val="Normal"/>
    <w:link w:val="TextodegloboCar"/>
    <w:uiPriority w:val="99"/>
    <w:semiHidden/>
    <w:unhideWhenUsed/>
    <w:rsid w:val="00BF6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25"/>
    <w:rPr>
      <w:rFonts w:ascii="Tahoma" w:hAnsi="Tahoma" w:cs="Tahoma"/>
      <w:sz w:val="16"/>
      <w:szCs w:val="16"/>
    </w:rPr>
  </w:style>
  <w:style w:type="character" w:customStyle="1" w:styleId="Ttulo2Car">
    <w:name w:val="Título 2 Car"/>
    <w:basedOn w:val="Fuentedeprrafopredeter"/>
    <w:link w:val="Ttulo2"/>
    <w:uiPriority w:val="9"/>
    <w:semiHidden/>
    <w:rsid w:val="000B43F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7257228">
      <w:bodyDiv w:val="1"/>
      <w:marLeft w:val="0"/>
      <w:marRight w:val="0"/>
      <w:marTop w:val="0"/>
      <w:marBottom w:val="0"/>
      <w:divBdr>
        <w:top w:val="none" w:sz="0" w:space="0" w:color="auto"/>
        <w:left w:val="none" w:sz="0" w:space="0" w:color="auto"/>
        <w:bottom w:val="none" w:sz="0" w:space="0" w:color="auto"/>
        <w:right w:val="none" w:sz="0" w:space="0" w:color="auto"/>
      </w:divBdr>
    </w:div>
    <w:div w:id="101925915">
      <w:bodyDiv w:val="1"/>
      <w:marLeft w:val="0"/>
      <w:marRight w:val="0"/>
      <w:marTop w:val="0"/>
      <w:marBottom w:val="0"/>
      <w:divBdr>
        <w:top w:val="none" w:sz="0" w:space="0" w:color="auto"/>
        <w:left w:val="none" w:sz="0" w:space="0" w:color="auto"/>
        <w:bottom w:val="none" w:sz="0" w:space="0" w:color="auto"/>
        <w:right w:val="none" w:sz="0" w:space="0" w:color="auto"/>
      </w:divBdr>
    </w:div>
    <w:div w:id="422185257">
      <w:bodyDiv w:val="1"/>
      <w:marLeft w:val="0"/>
      <w:marRight w:val="0"/>
      <w:marTop w:val="0"/>
      <w:marBottom w:val="0"/>
      <w:divBdr>
        <w:top w:val="none" w:sz="0" w:space="0" w:color="auto"/>
        <w:left w:val="none" w:sz="0" w:space="0" w:color="auto"/>
        <w:bottom w:val="none" w:sz="0" w:space="0" w:color="auto"/>
        <w:right w:val="none" w:sz="0" w:space="0" w:color="auto"/>
      </w:divBdr>
    </w:div>
    <w:div w:id="660934290">
      <w:bodyDiv w:val="1"/>
      <w:marLeft w:val="0"/>
      <w:marRight w:val="0"/>
      <w:marTop w:val="0"/>
      <w:marBottom w:val="0"/>
      <w:divBdr>
        <w:top w:val="none" w:sz="0" w:space="0" w:color="auto"/>
        <w:left w:val="none" w:sz="0" w:space="0" w:color="auto"/>
        <w:bottom w:val="none" w:sz="0" w:space="0" w:color="auto"/>
        <w:right w:val="none" w:sz="0" w:space="0" w:color="auto"/>
      </w:divBdr>
    </w:div>
    <w:div w:id="982588749">
      <w:bodyDiv w:val="1"/>
      <w:marLeft w:val="0"/>
      <w:marRight w:val="0"/>
      <w:marTop w:val="0"/>
      <w:marBottom w:val="0"/>
      <w:divBdr>
        <w:top w:val="none" w:sz="0" w:space="0" w:color="auto"/>
        <w:left w:val="none" w:sz="0" w:space="0" w:color="auto"/>
        <w:bottom w:val="none" w:sz="0" w:space="0" w:color="auto"/>
        <w:right w:val="none" w:sz="0" w:space="0" w:color="auto"/>
      </w:divBdr>
    </w:div>
    <w:div w:id="1458839266">
      <w:bodyDiv w:val="1"/>
      <w:marLeft w:val="0"/>
      <w:marRight w:val="0"/>
      <w:marTop w:val="0"/>
      <w:marBottom w:val="0"/>
      <w:divBdr>
        <w:top w:val="none" w:sz="0" w:space="0" w:color="auto"/>
        <w:left w:val="none" w:sz="0" w:space="0" w:color="auto"/>
        <w:bottom w:val="none" w:sz="0" w:space="0" w:color="auto"/>
        <w:right w:val="none" w:sz="0" w:space="0" w:color="auto"/>
      </w:divBdr>
      <w:divsChild>
        <w:div w:id="1957516755">
          <w:marLeft w:val="600"/>
          <w:marRight w:val="0"/>
          <w:marTop w:val="0"/>
          <w:marBottom w:val="0"/>
          <w:divBdr>
            <w:top w:val="none" w:sz="0" w:space="0" w:color="auto"/>
            <w:left w:val="none" w:sz="0" w:space="0" w:color="auto"/>
            <w:bottom w:val="none" w:sz="0" w:space="0" w:color="auto"/>
            <w:right w:val="none" w:sz="0" w:space="0" w:color="auto"/>
          </w:divBdr>
          <w:divsChild>
            <w:div w:id="1778061947">
              <w:marLeft w:val="600"/>
              <w:marRight w:val="0"/>
              <w:marTop w:val="0"/>
              <w:marBottom w:val="0"/>
              <w:divBdr>
                <w:top w:val="none" w:sz="0" w:space="0" w:color="auto"/>
                <w:left w:val="none" w:sz="0" w:space="0" w:color="auto"/>
                <w:bottom w:val="none" w:sz="0" w:space="0" w:color="auto"/>
                <w:right w:val="none" w:sz="0" w:space="0" w:color="auto"/>
              </w:divBdr>
            </w:div>
          </w:divsChild>
        </w:div>
        <w:div w:id="683093066">
          <w:marLeft w:val="1200"/>
          <w:marRight w:val="0"/>
          <w:marTop w:val="0"/>
          <w:marBottom w:val="0"/>
          <w:divBdr>
            <w:top w:val="none" w:sz="0" w:space="0" w:color="auto"/>
            <w:left w:val="none" w:sz="0" w:space="0" w:color="auto"/>
            <w:bottom w:val="none" w:sz="0" w:space="0" w:color="auto"/>
            <w:right w:val="none" w:sz="0" w:space="0" w:color="auto"/>
          </w:divBdr>
        </w:div>
        <w:div w:id="882448678">
          <w:marLeft w:val="600"/>
          <w:marRight w:val="0"/>
          <w:marTop w:val="0"/>
          <w:marBottom w:val="0"/>
          <w:divBdr>
            <w:top w:val="none" w:sz="0" w:space="0" w:color="auto"/>
            <w:left w:val="none" w:sz="0" w:space="0" w:color="auto"/>
            <w:bottom w:val="none" w:sz="0" w:space="0" w:color="auto"/>
            <w:right w:val="none" w:sz="0" w:space="0" w:color="auto"/>
          </w:divBdr>
        </w:div>
        <w:div w:id="1520773210">
          <w:marLeft w:val="1200"/>
          <w:marRight w:val="0"/>
          <w:marTop w:val="0"/>
          <w:marBottom w:val="0"/>
          <w:divBdr>
            <w:top w:val="none" w:sz="0" w:space="0" w:color="auto"/>
            <w:left w:val="none" w:sz="0" w:space="0" w:color="auto"/>
            <w:bottom w:val="none" w:sz="0" w:space="0" w:color="auto"/>
            <w:right w:val="none" w:sz="0" w:space="0" w:color="auto"/>
          </w:divBdr>
        </w:div>
        <w:div w:id="403458304">
          <w:marLeft w:val="1200"/>
          <w:marRight w:val="0"/>
          <w:marTop w:val="0"/>
          <w:marBottom w:val="0"/>
          <w:divBdr>
            <w:top w:val="none" w:sz="0" w:space="0" w:color="auto"/>
            <w:left w:val="none" w:sz="0" w:space="0" w:color="auto"/>
            <w:bottom w:val="none" w:sz="0" w:space="0" w:color="auto"/>
            <w:right w:val="none" w:sz="0" w:space="0" w:color="auto"/>
          </w:divBdr>
        </w:div>
        <w:div w:id="491681898">
          <w:marLeft w:val="1200"/>
          <w:marRight w:val="0"/>
          <w:marTop w:val="0"/>
          <w:marBottom w:val="0"/>
          <w:divBdr>
            <w:top w:val="none" w:sz="0" w:space="0" w:color="auto"/>
            <w:left w:val="none" w:sz="0" w:space="0" w:color="auto"/>
            <w:bottom w:val="none" w:sz="0" w:space="0" w:color="auto"/>
            <w:right w:val="none" w:sz="0" w:space="0" w:color="auto"/>
          </w:divBdr>
        </w:div>
        <w:div w:id="1860191399">
          <w:marLeft w:val="600"/>
          <w:marRight w:val="0"/>
          <w:marTop w:val="0"/>
          <w:marBottom w:val="0"/>
          <w:divBdr>
            <w:top w:val="none" w:sz="0" w:space="0" w:color="auto"/>
            <w:left w:val="none" w:sz="0" w:space="0" w:color="auto"/>
            <w:bottom w:val="none" w:sz="0" w:space="0" w:color="auto"/>
            <w:right w:val="none" w:sz="0" w:space="0" w:color="auto"/>
          </w:divBdr>
          <w:divsChild>
            <w:div w:id="5976398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10674329">
      <w:bodyDiv w:val="1"/>
      <w:marLeft w:val="0"/>
      <w:marRight w:val="0"/>
      <w:marTop w:val="0"/>
      <w:marBottom w:val="0"/>
      <w:divBdr>
        <w:top w:val="none" w:sz="0" w:space="0" w:color="auto"/>
        <w:left w:val="none" w:sz="0" w:space="0" w:color="auto"/>
        <w:bottom w:val="none" w:sz="0" w:space="0" w:color="auto"/>
        <w:right w:val="none" w:sz="0" w:space="0" w:color="auto"/>
      </w:divBdr>
    </w:div>
    <w:div w:id="1522888230">
      <w:bodyDiv w:val="1"/>
      <w:marLeft w:val="0"/>
      <w:marRight w:val="0"/>
      <w:marTop w:val="0"/>
      <w:marBottom w:val="0"/>
      <w:divBdr>
        <w:top w:val="none" w:sz="0" w:space="0" w:color="auto"/>
        <w:left w:val="none" w:sz="0" w:space="0" w:color="auto"/>
        <w:bottom w:val="none" w:sz="0" w:space="0" w:color="auto"/>
        <w:right w:val="none" w:sz="0" w:space="0" w:color="auto"/>
      </w:divBdr>
    </w:div>
    <w:div w:id="1551766168">
      <w:bodyDiv w:val="1"/>
      <w:marLeft w:val="0"/>
      <w:marRight w:val="0"/>
      <w:marTop w:val="0"/>
      <w:marBottom w:val="0"/>
      <w:divBdr>
        <w:top w:val="none" w:sz="0" w:space="0" w:color="auto"/>
        <w:left w:val="none" w:sz="0" w:space="0" w:color="auto"/>
        <w:bottom w:val="none" w:sz="0" w:space="0" w:color="auto"/>
        <w:right w:val="none" w:sz="0" w:space="0" w:color="auto"/>
      </w:divBdr>
    </w:div>
    <w:div w:id="1673414719">
      <w:bodyDiv w:val="1"/>
      <w:marLeft w:val="0"/>
      <w:marRight w:val="0"/>
      <w:marTop w:val="0"/>
      <w:marBottom w:val="0"/>
      <w:divBdr>
        <w:top w:val="none" w:sz="0" w:space="0" w:color="auto"/>
        <w:left w:val="none" w:sz="0" w:space="0" w:color="auto"/>
        <w:bottom w:val="none" w:sz="0" w:space="0" w:color="auto"/>
        <w:right w:val="none" w:sz="0" w:space="0" w:color="auto"/>
      </w:divBdr>
    </w:div>
    <w:div w:id="1744837334">
      <w:bodyDiv w:val="1"/>
      <w:marLeft w:val="0"/>
      <w:marRight w:val="0"/>
      <w:marTop w:val="0"/>
      <w:marBottom w:val="0"/>
      <w:divBdr>
        <w:top w:val="none" w:sz="0" w:space="0" w:color="auto"/>
        <w:left w:val="none" w:sz="0" w:space="0" w:color="auto"/>
        <w:bottom w:val="none" w:sz="0" w:space="0" w:color="auto"/>
        <w:right w:val="none" w:sz="0" w:space="0" w:color="auto"/>
      </w:divBdr>
    </w:div>
    <w:div w:id="20698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sinfantilcht.com/resources/MONITORIZACION.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iabetesinfantilcht.com/resources/MONITORIZACION.docx"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4"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deporcuna.blogia.com/upload/20070821181430-logo-servicio-andaluz-de-salud.gif" TargetMode="External"/><Relationship Id="rId1" Type="http://schemas.openxmlformats.org/officeDocument/2006/relationships/image" Target="media/image3.gif"/><Relationship Id="rId4" Type="http://schemas.openxmlformats.org/officeDocument/2006/relationships/image" Target="http://10.8.11.200/weblab/pics/logoHOSPmarbGRA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Amado García</dc:creator>
  <cp:lastModifiedBy>Usuario</cp:lastModifiedBy>
  <cp:revision>11</cp:revision>
  <cp:lastPrinted>2015-07-27T14:43:00Z</cp:lastPrinted>
  <dcterms:created xsi:type="dcterms:W3CDTF">2015-05-31T16:46:00Z</dcterms:created>
  <dcterms:modified xsi:type="dcterms:W3CDTF">2023-01-29T10:11:00Z</dcterms:modified>
</cp:coreProperties>
</file>